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F2850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1F1F1F"/>
          <w:sz w:val="20"/>
          <w:szCs w:val="20"/>
          <w:lang w:val="ru-RU"/>
        </w:rPr>
        <w:t>ЦИТРОСЕПТ© грейпфрутовый,</w:t>
      </w:r>
    </w:p>
    <w:p w14:paraId="4CAA4E1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Экстракт биофлавоноидов семян грейпфрута (33%) и витамина С</w:t>
      </w:r>
    </w:p>
    <w:p w14:paraId="3C83B28F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(т. н. комплекс витамина С).</w:t>
      </w:r>
    </w:p>
    <w:p w14:paraId="2365F3B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Описание:</w:t>
      </w:r>
    </w:p>
    <w:p w14:paraId="194460B2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Капли по 10, 20, 50 и 100 мл во флаконе с капельным дозатором (10 мл = ~260 капель). Жидкость обладает слабым запахом и сладковато-горьким вкусом.</w:t>
      </w:r>
    </w:p>
    <w:p w14:paraId="6F3E47A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Состав:</w:t>
      </w:r>
    </w:p>
    <w:p w14:paraId="434EE9D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содержит исключительно растительные компоненты. 100 мл препарата в жидкой форме содержат гликозиды, 19,37 г биофлавоноидов (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кверцетин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гесперидин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нарингин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и др.) и 4,9 г витамина С. В состав входит вода и пальмовый глицерин. Не содержит спирта и химических компонентов.</w:t>
      </w:r>
    </w:p>
    <w:p w14:paraId="456CDA5B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благодаря высочайшему содержанию биофлавоноидов грейпфрута и особенностям технологии производства обладает очень высокой биодоступностью.</w:t>
      </w:r>
    </w:p>
    <w:p w14:paraId="7C01B05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Фармакологическое действие:</w:t>
      </w:r>
    </w:p>
    <w:p w14:paraId="67D61CC4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Противогрибковое (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фунгицидное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фунгистатическое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), антибактериальное, противовирусное.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воздействует на 100 видов грибов и дрожжей (</w:t>
      </w:r>
      <w:r w:rsidRPr="006F47B4">
        <w:rPr>
          <w:rFonts w:ascii="Calibri" w:hAnsi="Calibri"/>
          <w:color w:val="2B2B2B"/>
          <w:sz w:val="20"/>
          <w:szCs w:val="20"/>
        </w:rPr>
        <w:t>Aspergillus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Candida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T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.</w:t>
      </w:r>
      <w:proofErr w:type="spellStart"/>
      <w:r w:rsidRPr="006F47B4">
        <w:rPr>
          <w:rFonts w:ascii="Calibri" w:hAnsi="Calibri"/>
          <w:color w:val="2B2B2B"/>
          <w:sz w:val="20"/>
          <w:szCs w:val="20"/>
        </w:rPr>
        <w:t>rabrum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T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.</w:t>
      </w:r>
      <w:r w:rsidRPr="006F47B4">
        <w:rPr>
          <w:rFonts w:ascii="Calibri" w:hAnsi="Calibri"/>
          <w:color w:val="2B2B2B"/>
          <w:sz w:val="20"/>
          <w:szCs w:val="20"/>
        </w:rPr>
        <w:t>mentagrophytes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T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.</w:t>
      </w:r>
      <w:r w:rsidRPr="006F47B4">
        <w:rPr>
          <w:rFonts w:ascii="Calibri" w:hAnsi="Calibri"/>
          <w:color w:val="2B2B2B"/>
          <w:sz w:val="20"/>
          <w:szCs w:val="20"/>
        </w:rPr>
        <w:t>tonsurans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Epidermophyton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</w:t>
      </w:r>
      <w:proofErr w:type="spellStart"/>
      <w:r w:rsidRPr="006F47B4">
        <w:rPr>
          <w:rFonts w:ascii="Calibri" w:hAnsi="Calibri"/>
          <w:color w:val="2B2B2B"/>
          <w:sz w:val="20"/>
          <w:szCs w:val="20"/>
        </w:rPr>
        <w:t>floccosum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и др.), а также более 800 штаммов грамположительных и грамотрицательных бактерий (среди них стрептококки, стафилококки, </w:t>
      </w:r>
      <w:r w:rsidRPr="006F47B4">
        <w:rPr>
          <w:rFonts w:ascii="Calibri" w:hAnsi="Calibri"/>
          <w:color w:val="2B2B2B"/>
          <w:sz w:val="20"/>
          <w:szCs w:val="20"/>
        </w:rPr>
        <w:t>Escherichia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Klebsiella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proofErr w:type="spellStart"/>
      <w:r w:rsidRPr="006F47B4">
        <w:rPr>
          <w:rFonts w:ascii="Calibri" w:hAnsi="Calibri"/>
          <w:color w:val="2B2B2B"/>
          <w:sz w:val="20"/>
          <w:szCs w:val="20"/>
        </w:rPr>
        <w:t>Prevotella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Proteus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Salmonella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Shigella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и др.).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кратковременно блокирует цитохром Р-450 в печени и пищеварительном тракте. Антибактериальное воздействие основано на повреждении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цитоплазменной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оболочки, клеточной стенки и на сдерживании синтеза аминокислот. Действие препарата продолжается 1-2 дня. Анаэробно разрушается без следов.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обладает высокой биодоступностью благодаря низкомолекулярному весу (565). Доказано воздействие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на </w:t>
      </w:r>
      <w:r w:rsidRPr="006F47B4">
        <w:rPr>
          <w:rFonts w:ascii="Calibri" w:hAnsi="Calibri"/>
          <w:color w:val="2B2B2B"/>
          <w:sz w:val="20"/>
          <w:szCs w:val="20"/>
        </w:rPr>
        <w:t>Herpes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</w:t>
      </w:r>
      <w:r w:rsidRPr="006F47B4">
        <w:rPr>
          <w:rFonts w:ascii="Calibri" w:hAnsi="Calibri"/>
          <w:color w:val="2B2B2B"/>
          <w:sz w:val="20"/>
          <w:szCs w:val="20"/>
        </w:rPr>
        <w:t>Simplex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Chlamydia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, </w:t>
      </w:r>
      <w:r w:rsidRPr="006F47B4">
        <w:rPr>
          <w:rFonts w:ascii="Calibri" w:hAnsi="Calibri"/>
          <w:color w:val="2B2B2B"/>
          <w:sz w:val="20"/>
          <w:szCs w:val="20"/>
        </w:rPr>
        <w:t>Trichomonas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и др. 20-летний мировой опыт применения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показал его высокую эффективность, хорошую переносимость и безопасность. Он не вызывает привыкания, зависимости и не разрушает внутреннюю микрофлору. Биофлавоноиды, содержащиеся в препарате, способствуют синтезу белков, предназначенных для синтеза специфических антител, могут оказывать регулирующее действие на метаболизм эндо- и экзогенных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липофильных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соединений и нормализуют все виды обмена (включая холестерин низкой плотности). Они оказывают противовоспалительное, противоревматическое и антиаллергическое действие, восстанавливают стенки сосудов, регулируют их проницаемость, улучшают кровообращение, нормализуют повышенную свертываемость крови, препятствуют образованию тромбов и обладают антиоксидантными свойствами. Эти соединения устраняют толерантность к углеводам (снижают уровень сахара), значительно ограничивают рост новообразований, включая новообразования кожи, защищают от радиации. Их регулярный прием задерживает развитие гипертонии и атеросклероза. Биофлавоноиды поддерживают печень – способствуют выведению отработанных продуктов жизнедеятельности организма – эндотоксинов (шлаков) и обладают желчегонным эффектом. Среднее употребление биофлавоноидов в развитых странах составляет ежедневно 0,5-1 г. Действие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для снижения веса: способствует снижению аппетита, ускоряет метаболические процессы, флавоноиды расщепляют жировые отложения.</w:t>
      </w:r>
    </w:p>
    <w:p w14:paraId="1C1A8976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i/>
          <w:color w:val="2B2B2B"/>
          <w:sz w:val="20"/>
          <w:szCs w:val="20"/>
          <w:lang w:val="ru-RU"/>
        </w:rPr>
        <w:t>Способ применения:</w:t>
      </w:r>
    </w:p>
    <w:p w14:paraId="411829D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Схема применения 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® для снижения веса:</w:t>
      </w:r>
    </w:p>
    <w:p w14:paraId="5709085F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• вес до 60 кг - 25 капель 3 раза в день;</w:t>
      </w:r>
    </w:p>
    <w:p w14:paraId="10930F5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• вес до 100 кг - 30 капель 3 раза в день;</w:t>
      </w:r>
    </w:p>
    <w:p w14:paraId="74C11702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• вес свыше 100 кг - 40 капель 3 раза в день.</w:t>
      </w:r>
    </w:p>
    <w:p w14:paraId="2E9C98B8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Грибки кожи, слизистых и ногтей (кандидозы: системный, полости рта, кожи, слизистых, пеленочный кандидоз, 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онихомикоз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, дерматомикоз, вагиниты).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Прием внутрь + местное применение (полоскания, аппликации, орошение слизистых).</w:t>
      </w:r>
    </w:p>
    <w:p w14:paraId="489BA163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Пеленочный кандидоз - только местное применение: 4 капли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на 20 мл растительного масла - раствор наносить 3 раза в день, 5-10 дней.</w:t>
      </w:r>
    </w:p>
    <w:p w14:paraId="158B24F0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Дерматозы: атонический дерматит, псориаз, экзема, микроспория, угревая сыпь - акне, простой герпес, красный плоский лишай, инфекции половых органов у женщин и мужчин: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внутрь + наружно.</w:t>
      </w:r>
    </w:p>
    <w:p w14:paraId="1614DA17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Кондиломы, папилломы, бородавки на коже: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внутрь + наружно 1-2 капли препарата без разведения аккуратно на пораженное место 2-3 раза в день.</w:t>
      </w:r>
    </w:p>
    <w:p w14:paraId="38FF6219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Смешанные 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грибково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-бактериальные поражения кожи и ногтевых пластин: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внутрь + наружно.</w:t>
      </w:r>
    </w:p>
    <w:p w14:paraId="38632655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Дыхательные пути: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бронхиты, гаймориты, грипп и другие ОРВИ, бронхиальная астма, ангина, парагрипп: прием внутрь + полоскание горла + промывание носа +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аэрозольтерапия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.</w:t>
      </w:r>
    </w:p>
    <w:p w14:paraId="4EC26F22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Себорея волосистой части головы: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наружное применение.</w:t>
      </w:r>
    </w:p>
    <w:p w14:paraId="142E468B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Стоматология: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стоматиты, гингивиты, пародонтоз, гигиена полости рта и для освежения дыхания: прием внутрь + полоскание + дезинфекция зубных щеток.</w:t>
      </w:r>
    </w:p>
    <w:p w14:paraId="4E54F825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Гастроэнтерология: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дисбактериоз, печеночная недостаточность, комплексная терапия гепатитов, включая вирусные гепатиты, гастрит: прием внутрь.</w:t>
      </w:r>
    </w:p>
    <w:p w14:paraId="2CC07F6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Острые интоксикации различной этиологии (в т. ч. алкогольная), иммунодефицит, прием антибиотиков, химиотерапия, облучение, прием антидепрессантов, антиконвульсантов и других препаратов с различным побочным действием.</w:t>
      </w:r>
    </w:p>
    <w:p w14:paraId="6FE38134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В качестве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адъювантной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(сопровождающей) терапии.</w:t>
      </w:r>
    </w:p>
    <w:p w14:paraId="05E0A759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Курсы очищения и похудения, включая целлюлит, паразиты: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прием внутрь.</w:t>
      </w:r>
    </w:p>
    <w:p w14:paraId="1680B3C3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Зуд и отеки при укусах насекомых, в т. ч. клещей: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1 капля наружно, 4-5 раз в день.</w:t>
      </w:r>
    </w:p>
    <w:p w14:paraId="627CFCA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Болезнь Лайма (Боррелиоз):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внутрь.</w:t>
      </w:r>
    </w:p>
    <w:p w14:paraId="6FF68BE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lastRenderedPageBreak/>
        <w:t xml:space="preserve">Раны, порезы, ожоги: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промывать раствором 10-20 капель на 100 мл воды, 4-5 раз в день.</w:t>
      </w:r>
    </w:p>
    <w:p w14:paraId="606318C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Атеросклероз: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прием внутрь.</w:t>
      </w:r>
    </w:p>
    <w:p w14:paraId="54BB6DA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Варикозное расширение вен и трофические язвы -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30 капель на 30 мл воды. Пропитать марлю и прикладывать к больному месту (если нет открытых ран). Повязки менять 2-3 раза в день.</w:t>
      </w:r>
    </w:p>
    <w:p w14:paraId="356B73B2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Акушерство и гинекология: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женские грибковые и бактериальные инфекции: прием внутрь + орошение слизистых.</w:t>
      </w:r>
    </w:p>
    <w:p w14:paraId="76423214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i/>
          <w:color w:val="2B2B2B"/>
          <w:sz w:val="20"/>
          <w:szCs w:val="20"/>
          <w:lang w:val="ru-RU"/>
        </w:rPr>
        <w:t>Способ применения и дозы:</w:t>
      </w:r>
    </w:p>
    <w:p w14:paraId="64880ED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i/>
          <w:color w:val="2B2B2B"/>
          <w:sz w:val="20"/>
          <w:szCs w:val="20"/>
          <w:lang w:val="ru-RU"/>
        </w:rPr>
        <w:t>Внутрь только в разведенном виде:</w:t>
      </w:r>
    </w:p>
    <w:p w14:paraId="52AF402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следует принимать в дозах 10-45 капель (в зависимости от массы тела и тяжести заболевания) 2-3 раза в день в разведении с 100-200 мл любой жидкости, тщательно перемешав. Жидкость может быть теплой, но не горячей. Можно использовать кипяченую воду. При хронических заболеваниях курс составляет от 2 до 3 меся</w:t>
      </w:r>
      <w:bookmarkStart w:id="0" w:name="_GoBack"/>
      <w:bookmarkEnd w:id="0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цев или до исчезновения симптомов. Прием можно продолжить до 4-6 месяцев. Объема 50 мл достаточно в среднем на 1,5 месяца. Для профилактики (взрослым): 5-10 капель 2 раза в день. В начальных стадиях простуды, гриппа или при отравлениях целесообразно принимать «ударные дозы» 20-70 капель 2-3 раза в день курсом 2-3 дня. При слишком интенсивной реакции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Герксхаймера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следует уменьшить дозу. Детская дозировка: 1 капля на 1 кг массы в сутки и общее количество капель разделить на 3 приема.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можно принимать независимо от еды, но не меньше чем за 30 минут,</w:t>
      </w:r>
    </w:p>
    <w:p w14:paraId="283DDCE9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а при повышенной кислотности, язвах желудка, гастрите или изжоге – только непосредственно перед едой. Принимающие экстракт первый раз должны начинать с 2-3 капель 2-3 раза в день и ежедневно увеличивать общее количество на 2-3 капли в течение около 2 недель.</w:t>
      </w:r>
    </w:p>
    <w:p w14:paraId="685092F6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Местное применение:</w:t>
      </w:r>
    </w:p>
    <w:p w14:paraId="7622C9AC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наносить на вымытую кожу. Начинать прием с минимальных указанных концентраций (особенно у детей), но если кожа и слизистые не слишком чувствительны или нет эффекта, концентрацию можно постепенно увеличить. Для разведений использовать кипяченую воду и раствор всегда тщательно перемешивать. Следить за реакцией организма и в зависимости от нее увеличивать или уменьшать дозу.</w:t>
      </w:r>
    </w:p>
    <w:p w14:paraId="2F9FB150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Грибки на ногтях: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ногти рекомендуется обрезать как можно короче каждые 2 дня. Наносить 1-2 капли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в виде аппликации на ногти и область вокруг ногтей 2-3 раза в день. Курс продолжать до вырастания неинфицированного ногтя (от 2 до 8 месяцев). Необходимо принимать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внутрь во время курса и 1 месяц после исчезновения симптомов.</w:t>
      </w:r>
    </w:p>
    <w:p w14:paraId="1C621E36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Дерматозы: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начинать с концентрации (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с водой) 1:4, затем 1:3, 1:2 и 1:1, 3 раза в день. Курс до получения эффекта 7-14 дней. Внутрь по схеме. При АКНЕ применять только с водой.</w:t>
      </w:r>
    </w:p>
    <w:p w14:paraId="7B2DB06A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Герпес: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дети от 1:4 до 1:2, взрослые 1:1 или без разведения 2-3 раза в день, аккуратно на очаги высыпаний курсом до 5 дней или до исчезновения симптомов, не допускать попадания неразведенного экстракта на кожу или слизистые рядом. Чем раньше начать прием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®, тем быстрее достигается эффект. При гнойных воспалениях или экземе пораженный участок предварительно высушить.</w:t>
      </w:r>
    </w:p>
    <w:p w14:paraId="22D5D88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Себорея (перхоть):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7-15 капель добавить в порцию шампуня, помыть волосы и втирать в кожу около 2 минут, потом хорошо промыть водой. Прием каждые 2-3 дня курсом 7-12 приемов. Продолжать 2 недели после исчезновения симптомов. Не допускать попадания в глаза.</w:t>
      </w:r>
    </w:p>
    <w:p w14:paraId="00E197C8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Полоскание горла: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3-12 капель на 100 мл теплой воды. Этим раствором полоскать горло 5-7 раз в день. После полоскания раствор можно проглотить.</w:t>
      </w:r>
    </w:p>
    <w:p w14:paraId="69887F1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Промывание носа: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2-4 капли (дети: 1-3 капли) препарата на 50 мл холодной кипяченой воды, промывать 2-3 раза в день, откинув голову назад и покачав ею в разные стороны, хорошо очистить нос.</w:t>
      </w:r>
    </w:p>
    <w:p w14:paraId="348162D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Орошение слизистых при женских инфекциях: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промывать раствором 15-25 капель (в первый раз 10) на 0,5 литра воды 2 раза в день.</w:t>
      </w:r>
    </w:p>
    <w:p w14:paraId="62BA89BB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Для мужчин: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на пораженные участки осторожно наносить раствор 1 ст. ложки растительного масла и 1-4 капель препарата 3 раза в день на несколько минут, каждый раз хорошо смыть.</w:t>
      </w:r>
    </w:p>
    <w:p w14:paraId="2942B5C8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Аэрозольтерапия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2-3 капли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в 3-4 мл дистиллированной воды (в ампулах для инъекций).</w:t>
      </w:r>
    </w:p>
    <w:p w14:paraId="7F44943E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Работает в любом типе небулайзера: компрессорном, ультразвуковом и смешанном.</w:t>
      </w:r>
    </w:p>
    <w:p w14:paraId="04F7FF85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Полоскание ротовой полости: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4-11 капель (детям с 1 капли) на 100 мл теплой воды, полоскать или протирать марлей минимум 3 раза в день. Полоскание дезинфицирует ротовую полость и освежает дыхание.</w:t>
      </w:r>
    </w:p>
    <w:p w14:paraId="3912417F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Для профилактики, например, после посещения бани или бассейна, можно применять на кожу раствор 10-20 капель на стакан воды.</w:t>
      </w:r>
    </w:p>
    <w:p w14:paraId="0C67771D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i/>
          <w:color w:val="2B2B2B"/>
          <w:sz w:val="20"/>
          <w:szCs w:val="20"/>
          <w:lang w:val="ru-RU"/>
        </w:rPr>
        <w:t>Побочные эффекты:</w:t>
      </w:r>
    </w:p>
    <w:p w14:paraId="78513C1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Реакция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Герксхаймера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– кратковременный дискомфорт (1-2 дня), возникающий в результате массового отмирания патогенных организмов: возможна усталость, головная боль, обострение болезненных состояний, редко диарея. Реакция, хотя и не очень приятная, является признаком очищения и оздоровления. Следует уменьшить дозы, включить в рацион пищу, богатую целлюлозой (хлеб крупного помола, отруби), и больше пить. При местном применении: жжение, покалывание—следует временно уменьшить дозу.</w:t>
      </w:r>
    </w:p>
    <w:p w14:paraId="5F7A62A4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i/>
          <w:color w:val="2B2B2B"/>
          <w:sz w:val="20"/>
          <w:szCs w:val="20"/>
          <w:lang w:val="ru-RU"/>
        </w:rPr>
        <w:t>Противопоказания:</w:t>
      </w:r>
    </w:p>
    <w:p w14:paraId="7527213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Индивидуальная непереносимость компонентов продукта, беременность, кормление грудью.</w:t>
      </w:r>
    </w:p>
    <w:p w14:paraId="7931390D" w14:textId="77777777" w:rsidR="008021FF" w:rsidRPr="006F47B4" w:rsidRDefault="00282B94">
      <w:pPr>
        <w:spacing w:before="80"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1F1F1F"/>
          <w:sz w:val="20"/>
          <w:szCs w:val="20"/>
          <w:lang w:val="ru-RU"/>
        </w:rPr>
        <w:t>ВНИМАНИЕ:</w:t>
      </w:r>
    </w:p>
    <w:p w14:paraId="7066A96C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lastRenderedPageBreak/>
        <w:t xml:space="preserve">Внутрь, на слизистые и открытые раны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применять только в разведенном виде. Нельзя допускать попадания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в глаза. Если это случилось, следует немедленно тщательно промыть глаза водой и обратиться к врачу. Для беременных максимальная суточная доза составляет около 20 капель (7 капель 3 раза в день). Лица, принимающие сердечные гликозиды и другие препараты, используемые при лечении гипертонии и коронарной недостаточности, особенно блокаторы кальциевого канала, а также перенесшие операцию по пересадке, должны начинать прием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Цитросепта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с 1 капли в день и, постепенно увеличивая дозу, следить за реакцией организма.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может потенцировать (усилить) действие кардиологических препаратов. Перед применением необходимо проконсультироваться с врачом.</w:t>
      </w:r>
    </w:p>
    <w:p w14:paraId="2D7E7E42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Условия хранения: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хранить в сухом и темном месте при температуре от +15 до +25° С.</w:t>
      </w:r>
    </w:p>
    <w:p w14:paraId="68BE84B6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Срок 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подности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: 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3 года. Беречь от детей. Порядок отпуска из аптек: отпуск возможен без рецепта врача.</w:t>
      </w:r>
    </w:p>
    <w:p w14:paraId="6FF6390B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Свидетельство о государственной регистрации: № </w:t>
      </w:r>
      <w:r w:rsidRPr="006F47B4">
        <w:rPr>
          <w:rFonts w:ascii="Calibri" w:hAnsi="Calibri"/>
          <w:b/>
          <w:color w:val="2B2B2B"/>
          <w:sz w:val="20"/>
          <w:szCs w:val="20"/>
        </w:rPr>
        <w:t>RU</w:t>
      </w: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.77.99.22.003.</w:t>
      </w:r>
      <w:r w:rsidRPr="006F47B4">
        <w:rPr>
          <w:rFonts w:ascii="Calibri" w:hAnsi="Calibri"/>
          <w:b/>
          <w:color w:val="2B2B2B"/>
          <w:sz w:val="20"/>
          <w:szCs w:val="20"/>
        </w:rPr>
        <w:t>E</w:t>
      </w: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.003428.02.15 от 12.02.2015 г.</w:t>
      </w:r>
    </w:p>
    <w:p w14:paraId="53F74FA9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«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Чинтамани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 xml:space="preserve"> 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Поланд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», Польша. Компания входит в международную группу «ЧИНТАМАНИ ИНТЕРНЭШНЛ» Норвегия. Представительство в России: ООО «</w:t>
      </w:r>
      <w:proofErr w:type="spellStart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Чинтамани</w:t>
      </w:r>
      <w:proofErr w:type="spellEnd"/>
      <w:r w:rsidRPr="006F47B4">
        <w:rPr>
          <w:rFonts w:ascii="Calibri" w:hAnsi="Calibri"/>
          <w:b/>
          <w:color w:val="2B2B2B"/>
          <w:sz w:val="20"/>
          <w:szCs w:val="20"/>
          <w:lang w:val="ru-RU"/>
        </w:rPr>
        <w:t>», Москва, тел.: (495) 952-60-20,  (495) 364-31-63</w:t>
      </w:r>
    </w:p>
    <w:p w14:paraId="51B7D93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Препарат «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»® до 2009 г. производился в Норвегии. С 2009 г. производство переместилось в Польшу, причем оборудование, технология и сырье, применяемые для его производства, те же, которые применялись в </w:t>
      </w:r>
      <w:r w:rsidRPr="006F47B4">
        <w:rPr>
          <w:rFonts w:ascii="Calibri" w:hAnsi="Calibri"/>
          <w:color w:val="2B2B2B"/>
          <w:sz w:val="20"/>
          <w:szCs w:val="20"/>
        </w:rPr>
        <w:t>CINTAMANI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Норвегии.</w:t>
      </w:r>
    </w:p>
    <w:p w14:paraId="1513FBA1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</w:rPr>
        <w:t>INTERNATIONAL</w:t>
      </w:r>
    </w:p>
    <w:p w14:paraId="3AA90643" w14:textId="77777777" w:rsidR="008021FF" w:rsidRPr="006F47B4" w:rsidRDefault="00282B94">
      <w:pPr>
        <w:spacing w:before="80"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b/>
          <w:color w:val="1F1F1F"/>
          <w:sz w:val="20"/>
          <w:szCs w:val="20"/>
          <w:lang w:val="ru-RU"/>
        </w:rPr>
        <w:t>ПРЕДУПРЕЖДЕНИЕ О ПОДДЕЛКАХ:</w:t>
      </w:r>
    </w:p>
    <w:p w14:paraId="016209B7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«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»® стал на российском рынке настолько востребованным, что в аптеках появились его подделки. Просим обратить внимание, что жидкости с таким же названием, но произведенные в любой другой стране кроме Польши, являются откровенными подделками и с препаратом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не имеют ничего общего.</w:t>
      </w:r>
    </w:p>
    <w:p w14:paraId="291B6F00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Сейчас хотим обратить Ваше внимание на самый важный момент:</w:t>
      </w:r>
    </w:p>
    <w:p w14:paraId="1C7E0B5A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Бывает, что добросовестные провизоры в аптеках, до этого незнакомые с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Цитросептом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® из Польши (а до этого из Норвегии), предлагают обратившимся к ним за </w:t>
      </w:r>
      <w:proofErr w:type="spellStart"/>
      <w:r w:rsidRPr="006F47B4">
        <w:rPr>
          <w:rFonts w:ascii="Calibri" w:hAnsi="Calibri"/>
          <w:color w:val="2B2B2B"/>
          <w:sz w:val="20"/>
          <w:szCs w:val="20"/>
          <w:lang w:val="ru-RU"/>
        </w:rPr>
        <w:t>Цитросептом</w:t>
      </w:r>
      <w:proofErr w:type="spellEnd"/>
      <w:r w:rsidRPr="006F47B4">
        <w:rPr>
          <w:rFonts w:ascii="Calibri" w:hAnsi="Calibri"/>
          <w:color w:val="2B2B2B"/>
          <w:sz w:val="20"/>
          <w:szCs w:val="20"/>
          <w:lang w:val="ru-RU"/>
        </w:rPr>
        <w:t>® клиентам неисследованные жидкости с таким же названием. Клиент, как минимум, не получит ожидаемого результата, а в худшем случае возможны осложнения, вызванные непредсказуемым действием подделки.</w:t>
      </w:r>
    </w:p>
    <w:p w14:paraId="2A862B17" w14:textId="77777777" w:rsidR="008021FF" w:rsidRPr="006F47B4" w:rsidRDefault="00282B94">
      <w:pPr>
        <w:spacing w:after="40" w:line="180" w:lineRule="exact"/>
        <w:rPr>
          <w:sz w:val="20"/>
          <w:szCs w:val="20"/>
          <w:lang w:val="ru-RU"/>
        </w:rPr>
      </w:pPr>
      <w:r w:rsidRPr="006F47B4">
        <w:rPr>
          <w:rFonts w:ascii="Calibri" w:hAnsi="Calibri"/>
          <w:color w:val="2B2B2B"/>
          <w:sz w:val="20"/>
          <w:szCs w:val="20"/>
          <w:lang w:val="ru-RU"/>
        </w:rPr>
        <w:t>На каждой упаковке Цитросепта® легко найдете круглую голограмму "</w:t>
      </w:r>
      <w:r w:rsidRPr="006F47B4">
        <w:rPr>
          <w:rFonts w:ascii="Calibri" w:hAnsi="Calibri"/>
          <w:color w:val="2B2B2B"/>
          <w:sz w:val="20"/>
          <w:szCs w:val="20"/>
        </w:rPr>
        <w:t>CINTAMANI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 xml:space="preserve"> </w:t>
      </w:r>
      <w:r w:rsidRPr="006F47B4">
        <w:rPr>
          <w:rFonts w:ascii="Calibri" w:hAnsi="Calibri"/>
          <w:color w:val="2B2B2B"/>
          <w:sz w:val="20"/>
          <w:szCs w:val="20"/>
        </w:rPr>
        <w:t>ORIGINAL</w:t>
      </w:r>
      <w:r w:rsidRPr="006F47B4">
        <w:rPr>
          <w:rFonts w:ascii="Calibri" w:hAnsi="Calibri"/>
          <w:color w:val="2B2B2B"/>
          <w:sz w:val="20"/>
          <w:szCs w:val="20"/>
          <w:lang w:val="ru-RU"/>
        </w:rPr>
        <w:t>" и информацию о том, что Цитросепт® производится в Польше.</w:t>
      </w:r>
    </w:p>
    <w:p w14:paraId="782FD3B4" w14:textId="77777777" w:rsidR="008021FF" w:rsidRPr="006F47B4" w:rsidRDefault="00282B94">
      <w:pPr>
        <w:spacing w:after="40" w:line="180" w:lineRule="exact"/>
        <w:rPr>
          <w:sz w:val="20"/>
          <w:szCs w:val="20"/>
        </w:rPr>
      </w:pPr>
      <w:r w:rsidRPr="006F47B4">
        <w:rPr>
          <w:rFonts w:ascii="Calibri" w:hAnsi="Calibri"/>
          <w:color w:val="2B2B2B"/>
          <w:sz w:val="20"/>
          <w:szCs w:val="20"/>
        </w:rPr>
        <w:t>EAC</w:t>
      </w:r>
    </w:p>
    <w:sectPr w:rsidR="008021FF" w:rsidRPr="006F47B4" w:rsidSect="00034616">
      <w:pgSz w:w="7370" w:h="17008"/>
      <w:pgMar w:top="283" w:right="283" w:bottom="283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2B94"/>
    <w:rsid w:val="0029639D"/>
    <w:rsid w:val="00326F90"/>
    <w:rsid w:val="006F47B4"/>
    <w:rsid w:val="008021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B7485"/>
  <w14:defaultImageDpi w14:val="300"/>
  <w15:docId w15:val="{2E851A21-C1C2-448B-A4AC-CCD35EFE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1570FB-24B9-437E-8AB9-DA393D4F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</cp:lastModifiedBy>
  <cp:revision>3</cp:revision>
  <dcterms:created xsi:type="dcterms:W3CDTF">2026-09-28T08:28:00Z</dcterms:created>
  <dcterms:modified xsi:type="dcterms:W3CDTF">2026-09-28T08:32:00Z</dcterms:modified>
  <cp:category/>
</cp:coreProperties>
</file>